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063" w:y="102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22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Анализ мониторинга обновления воспитательного процесса</w:t>
      </w:r>
    </w:p>
    <w:p>
      <w:pPr>
        <w:pStyle w:val="Style5"/>
        <w:framePr w:wrap="none" w:vAnchor="page" w:hAnchor="page" w:x="4922" w:y="14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школе 2020-2021 учебный год</w:t>
      </w:r>
    </w:p>
    <w:tbl>
      <w:tblPr>
        <w:tblOverlap w:val="never"/>
        <w:tblLayout w:type="fixed"/>
        <w:jc w:val="left"/>
      </w:tblPr>
      <w:tblGrid>
        <w:gridCol w:w="2856"/>
        <w:gridCol w:w="3835"/>
        <w:gridCol w:w="3715"/>
      </w:tblGrid>
      <w:tr>
        <w:trPr>
          <w:trHeight w:val="96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69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Что изучается (предмет мониторинга)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422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Как изучается (механизм мониторинга)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7"/>
                <w:b/>
                <w:bCs/>
              </w:rPr>
              <w:t>Показатели</w:t>
            </w:r>
          </w:p>
        </w:tc>
      </w:tr>
      <w:tr>
        <w:trPr>
          <w:trHeight w:val="168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2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1 .Личность школьника как главный показатель эффективности процесса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20" w:after="0" w:line="2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Тестовая диагностика личностного роста школьников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Методика индивидуального диагностического собеседования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Высокий - 32% Средний - 56% Низкий -12%</w:t>
            </w:r>
          </w:p>
        </w:tc>
      </w:tr>
      <w:tr>
        <w:trPr>
          <w:trHeight w:val="28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240" w:line="2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2.Детский коллектив как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240" w:after="0" w:line="269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условие развития личности школьника.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Методика изучения уровня развития детского коллектива «Какой у нас коллектив» А.Н. Лутошкина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Методика социометрического изучения межличностных отношений в детском коллективе (см. соответствующий раздел данного пособия).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numPr>
                <w:ilvl w:val="0"/>
                <w:numId w:val="1"/>
              </w:numPr>
              <w:framePr w:w="10406" w:h="14736" w:wrap="none" w:vAnchor="page" w:hAnchor="page" w:x="1063" w:y="1858"/>
              <w:tabs>
                <w:tab w:leader="none" w:pos="163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ступень - 20%</w:t>
            </w:r>
          </w:p>
          <w:p>
            <w:pPr>
              <w:pStyle w:val="Style3"/>
              <w:numPr>
                <w:ilvl w:val="0"/>
                <w:numId w:val="1"/>
              </w:numPr>
              <w:framePr w:w="10406" w:h="14736" w:wrap="none" w:vAnchor="page" w:hAnchor="page" w:x="1063" w:y="1858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ступень - 24%</w:t>
            </w:r>
          </w:p>
          <w:p>
            <w:pPr>
              <w:pStyle w:val="Style3"/>
              <w:numPr>
                <w:ilvl w:val="0"/>
                <w:numId w:val="1"/>
              </w:numPr>
              <w:framePr w:w="10406" w:h="14736" w:wrap="none" w:vAnchor="page" w:hAnchor="page" w:x="1063" w:y="1858"/>
              <w:tabs>
                <w:tab w:leader="none" w:pos="178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ступень - 26%</w:t>
            </w:r>
          </w:p>
          <w:p>
            <w:pPr>
              <w:pStyle w:val="Style3"/>
              <w:numPr>
                <w:ilvl w:val="0"/>
                <w:numId w:val="1"/>
              </w:numPr>
              <w:framePr w:w="10406" w:h="14736" w:wrap="none" w:vAnchor="page" w:hAnchor="page" w:x="1063" w:y="1858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ступень -18%</w:t>
            </w:r>
          </w:p>
          <w:p>
            <w:pPr>
              <w:pStyle w:val="Style3"/>
              <w:numPr>
                <w:ilvl w:val="0"/>
                <w:numId w:val="1"/>
              </w:numPr>
              <w:framePr w:w="10406" w:h="14736" w:wrap="none" w:vAnchor="page" w:hAnchor="page" w:x="1063" w:y="1858"/>
              <w:tabs>
                <w:tab w:leader="none" w:pos="182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7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ступень -12%</w:t>
            </w:r>
          </w:p>
        </w:tc>
      </w:tr>
      <w:tr>
        <w:trPr>
          <w:trHeight w:val="19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З.Профессиональная позиция педагога как условие развития личности школьника.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Диагностика профессиональной позиции педагога как воспитателя Методика изучения профессиональных ориентиров педагогического коллектива в сфере воспитания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 xml:space="preserve">Высокая степень </w:t>
            </w:r>
            <w:r>
              <w:rPr>
                <w:rStyle w:val="CharStyle9"/>
                <w:b w:val="0"/>
                <w:bCs w:val="0"/>
              </w:rPr>
              <w:t xml:space="preserve">- </w:t>
            </w:r>
            <w:r>
              <w:rPr>
                <w:rStyle w:val="CharStyle8"/>
                <w:b w:val="0"/>
                <w:bCs w:val="0"/>
              </w:rPr>
              <w:t>28% Средняя степень - 70% Низкая степень - 2%</w:t>
            </w:r>
          </w:p>
        </w:tc>
      </w:tr>
      <w:tr>
        <w:trPr>
          <w:trHeight w:val="13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4. Организационные условия, обеспечивающие эффективность процесса 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Экспертный анализ и оценка организационных условий процесса воспитания.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 xml:space="preserve">Высокий уровень - 37% Средний уровень </w:t>
            </w:r>
            <w:r>
              <w:rPr>
                <w:rStyle w:val="CharStyle9"/>
                <w:b w:val="0"/>
                <w:bCs w:val="0"/>
              </w:rPr>
              <w:t xml:space="preserve">- </w:t>
            </w:r>
            <w:r>
              <w:rPr>
                <w:rStyle w:val="CharStyle8"/>
                <w:b w:val="0"/>
                <w:bCs w:val="0"/>
              </w:rPr>
              <w:t>63% Низкий уровень - 0%</w:t>
            </w:r>
          </w:p>
        </w:tc>
      </w:tr>
      <w:tr>
        <w:trPr>
          <w:trHeight w:val="30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4.1 .Материально- техническое оснащение, необходимое для организации процесса 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Качественный и количественный анализ материально-технического оснащения процесса воспитания (оборудования, аппаратуры, культурно-массового, туристского, спортивного снаряжения, библиотечно-информационного фонда и т.д.), исходя из реальных материальных возможностей образовательного учреждения.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180" w:line="230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Обеспеченность 100% - 8 ОО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78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Обеспеченность более 75% - 14 ОО</w:t>
            </w:r>
          </w:p>
        </w:tc>
      </w:tr>
      <w:tr>
        <w:trPr>
          <w:trHeight w:val="288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4.2. У комплектованность школы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квалифицированными специалистами в области 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Анализ штатного расписания образовательного учреждения на предмет наличия необходимых и * достаточных для осуществления процесса воспитания педагогических кадров (это могут быть классные руководители и классные воспитатели, зам. директора по воспитанию и организатор внеклассной работы 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Укомплектованность 100% - 32%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Наличие психологов - 100%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Наличие соц. педагогов - 87%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Наличие организаторов - 82%</w:t>
            </w:r>
          </w:p>
          <w:p>
            <w:pPr>
              <w:pStyle w:val="Style3"/>
              <w:framePr w:w="10406" w:h="14736" w:wrap="none" w:vAnchor="page" w:hAnchor="page" w:x="1063" w:y="185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0" w:right="0" w:firstLine="0"/>
            </w:pPr>
            <w:r>
              <w:rPr>
                <w:rStyle w:val="CharStyle8"/>
                <w:b w:val="0"/>
                <w:bCs w:val="0"/>
              </w:rPr>
              <w:t>Наличие педагогов дополнительного образования - 46%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2861"/>
        <w:gridCol w:w="3821"/>
        <w:gridCol w:w="3686"/>
      </w:tblGrid>
      <w:tr>
        <w:trPr>
          <w:trHeight w:val="27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0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•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школе, старший вожатый и педагог дополнительного образования, социальный педагог и школьный психолог) и их профессиональной квалификации.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368" w:h="7694" w:wrap="none" w:vAnchor="page" w:hAnchor="page" w:x="994" w:y="81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4.3.Предметно- эстетическая среда, в которой организуется процесс 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Анализ предметно-эстетической среды образовательного учреждения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18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Высокий уровень - 37% Средний уровень - 63% Низкий уровень - 0%</w:t>
            </w:r>
          </w:p>
        </w:tc>
      </w:tr>
      <w:tr>
        <w:trPr>
          <w:trHeight w:val="21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4.4 .Деятельность детских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объединений и органов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ученического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самоуправления,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необходимых для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самореализации</w:t>
            </w:r>
          </w:p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школьников.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Анализ деятельности детских объединений и органов ученического самоуправления, необходимых для самореализации школьников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422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Высокий уровень </w:t>
            </w:r>
            <w:r>
              <w:rPr>
                <w:rStyle w:val="CharStyle11"/>
                <w:b w:val="0"/>
                <w:bCs w:val="0"/>
              </w:rPr>
              <w:t xml:space="preserve">- </w:t>
            </w:r>
            <w:r>
              <w:rPr>
                <w:rStyle w:val="CharStyle10"/>
                <w:b w:val="0"/>
                <w:bCs w:val="0"/>
              </w:rPr>
              <w:t xml:space="preserve">46% Средний уровень </w:t>
            </w:r>
            <w:r>
              <w:rPr>
                <w:rStyle w:val="CharStyle11"/>
                <w:b w:val="0"/>
                <w:bCs w:val="0"/>
              </w:rPr>
              <w:t xml:space="preserve">- </w:t>
            </w:r>
            <w:r>
              <w:rPr>
                <w:rStyle w:val="CharStyle10"/>
                <w:b w:val="0"/>
                <w:bCs w:val="0"/>
              </w:rPr>
              <w:t>35% Низкий уровень - 19%</w:t>
            </w:r>
          </w:p>
        </w:tc>
      </w:tr>
      <w:tr>
        <w:trPr>
          <w:trHeight w:val="140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4.5. Программное обеспечение процесса воспитания.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>Анализ концепций, программ, планов воспитания в образовательном учреждении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0368" w:h="7694" w:wrap="none" w:vAnchor="page" w:hAnchor="page" w:x="994" w:y="81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22" w:lineRule="exact"/>
              <w:ind w:left="0" w:right="0" w:firstLine="0"/>
            </w:pPr>
            <w:r>
              <w:rPr>
                <w:rStyle w:val="CharStyle10"/>
                <w:b w:val="0"/>
                <w:bCs w:val="0"/>
              </w:rPr>
              <w:t xml:space="preserve">Соответствуют требованиям </w:t>
            </w:r>
            <w:r>
              <w:rPr>
                <w:rStyle w:val="CharStyle11"/>
                <w:b w:val="0"/>
                <w:bCs w:val="0"/>
              </w:rPr>
              <w:t xml:space="preserve">- </w:t>
            </w:r>
            <w:r>
              <w:rPr>
                <w:rStyle w:val="CharStyle10"/>
                <w:b w:val="0"/>
                <w:bCs w:val="0"/>
              </w:rPr>
              <w:t>17 Требуют доработки - 5 Не соответствуют требованиям - 0</w:t>
            </w:r>
          </w:p>
        </w:tc>
      </w:tr>
    </w:tbl>
    <w:p>
      <w:pPr>
        <w:pStyle w:val="Style12"/>
        <w:framePr w:w="10382" w:h="5160" w:hRule="exact" w:wrap="none" w:vAnchor="page" w:hAnchor="page" w:x="979" w:y="8888"/>
        <w:tabs>
          <w:tab w:leader="none" w:pos="584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6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основании проведённого мониторинга обновления воспитательного процесса в школах можно сделать следующие выводы:</w:t>
        <w:tab/>
        <w:t>в мониторинге приняли участи все</w:t>
      </w:r>
    </w:p>
    <w:p>
      <w:pPr>
        <w:pStyle w:val="Style12"/>
        <w:framePr w:w="10382" w:h="5160" w:hRule="exact" w:wrap="none" w:vAnchor="page" w:hAnchor="page" w:x="979" w:y="8888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общеобразовательные организации города Ефремова и Ефремовского района (33 00 - 100%).Программное обеспечение процесса воспитания обеспечено во всех организациях, но требуют доработки программы и планы обеспечения воспитательного процесса в СОШ № 11,14,28; организационные условия, обеспечивающие эффективность процесса воспитания, в основном созданы, в некоторых учреждениях (63%) отмечается недостаточные условия (площади) для открытия кабинетов для развития детского движения, отсутствуют актовые залы, отдельные кабинеты психологов и другие помещения, необходимые для обновления и развития воспитательного процесса в школах;</w:t>
      </w:r>
    </w:p>
    <w:p>
      <w:pPr>
        <w:pStyle w:val="Style12"/>
        <w:framePr w:w="10382" w:h="5160" w:hRule="exact" w:wrap="none" w:vAnchor="page" w:hAnchor="page" w:x="979" w:y="888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1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Анализ деятельности детских объединений и органов ученического самоуправления, необходимых для самореализации школьников, показал достаточно высокий уровень готовности школьников к самореализации в деятельности в общественном объединении, к развитию своих лидерских качеств, но, к сожалению. 19% классных коллективов ещё пассивны в данном направлении. Диагностика профессиональной позиции педагога как воспитателя, профессиональных ориентиров педагогического коллектива в сфере воспитания отражает ситуацию в коллективах в целом: с высокой степенью - 28%, со средней степень - 70% и 2% с низкой степенью профессиональных ориентиров.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10282" w:h="4208" w:hRule="exact" w:wrap="none" w:vAnchor="page" w:hAnchor="page" w:x="1041" w:y="7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Личность школьника - это главный показатель эффективности процесса воспитания, тестовая</w:t>
        <w:br/>
        <w:t>диагностика личностного роста школьников показывает, что у большинства школьников</w:t>
        <w:br/>
        <w:t>сформированы личностные ориентиры, определены жизненные приоритеты, уровень</w:t>
        <w:br/>
        <w:t>воспитанности удовлетворительный. При этом отмечается, что 12% школьников не готовы к</w:t>
        <w:br/>
        <w:t>самоопределению, уровень воспитанности низкий, нет целевых установок, не определены</w:t>
        <w:br/>
        <w:t>приоритеты развития.</w:t>
      </w:r>
    </w:p>
    <w:p>
      <w:pPr>
        <w:pStyle w:val="Style12"/>
        <w:framePr w:w="10282" w:h="4208" w:hRule="exact" w:wrap="none" w:vAnchor="page" w:hAnchor="page" w:x="1041" w:y="7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Показатели методика изучения уровня развития детского коллектива «Какой у нас коллектив»</w:t>
        <w:br/>
        <w:t>А.Н. Лутошкина и социометрического изучения межличностных отношений в детском коллективе</w:t>
        <w:br/>
        <w:t>находятся на одном уровне от 18 до 26 %. То есть детские коллективы проходят несколько</w:t>
        <w:br/>
        <w:t>уровней развития, в основном начальное звено и дети переходного возраста (6 -8 классы)</w:t>
        <w:br/>
        <w:t>относятся к 1 - 3 ступени своего развития. На данном этапе важна роль классного руководителя,</w:t>
        <w:br/>
        <w:t>как грамотного наставника, координатора и управленца классным коллективом.</w:t>
      </w:r>
    </w:p>
    <w:p>
      <w:pPr>
        <w:pStyle w:val="Style12"/>
        <w:framePr w:w="10282" w:h="4208" w:hRule="exact" w:wrap="none" w:vAnchor="page" w:hAnchor="page" w:x="1041" w:y="7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соответствие с анализом выявлены следующие проблемы обновления воспитательного</w:t>
        <w:br/>
        <w:t>процесса:</w:t>
      </w:r>
    </w:p>
    <w:p>
      <w:pPr>
        <w:pStyle w:val="Style12"/>
        <w:framePr w:w="10282" w:h="4208" w:hRule="exact" w:wrap="none" w:vAnchor="page" w:hAnchor="page" w:x="1041" w:y="7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9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• требуют доработки программы и планы обеспечения воспитательного процесса в СОШ №</w:t>
      </w:r>
    </w:p>
    <w:p>
      <w:pPr>
        <w:pStyle w:val="Style12"/>
        <w:numPr>
          <w:ilvl w:val="0"/>
          <w:numId w:val="3"/>
        </w:numPr>
        <w:framePr w:w="10282" w:h="5899" w:hRule="exact" w:wrap="none" w:vAnchor="page" w:hAnchor="page" w:x="1041" w:y="5191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отмечается недостаточные условия (площади) для открытия кабинетов для развития</w:t>
        <w:br/>
        <w:t>детского движения, отсутствуют актовые залы, отдельные кабинеты психологов и другие</w:t>
        <w:br/>
        <w:t>помещения, необходимые для обновления и развития воспитательного процесса в школах;</w:t>
        <w:br/>
        <w:t>недостаточное материально-техническое оснащение, необходимое для организации</w:t>
        <w:br/>
        <w:t>процесса воспитания, отмечается в данных учреждениях: СОШ № 17,18,24,28,30.</w:t>
      </w:r>
    </w:p>
    <w:p>
      <w:pPr>
        <w:pStyle w:val="Style12"/>
        <w:numPr>
          <w:ilvl w:val="0"/>
          <w:numId w:val="3"/>
        </w:numPr>
        <w:framePr w:w="10282" w:h="5899" w:hRule="exact" w:wrap="none" w:vAnchor="page" w:hAnchor="page" w:x="1041" w:y="5191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укомплектованность всеми необходимыми штатными единицами по воспитанию 100%</w:t>
        <w:br/>
        <w:t>всего лишь 32% от общего количества 00</w:t>
      </w:r>
    </w:p>
    <w:p>
      <w:pPr>
        <w:pStyle w:val="Style12"/>
        <w:numPr>
          <w:ilvl w:val="0"/>
          <w:numId w:val="3"/>
        </w:numPr>
        <w:framePr w:w="10282" w:h="5899" w:hRule="exact" w:wrap="none" w:vAnchor="page" w:hAnchor="page" w:x="1041" w:y="5191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19% классных коллективов пассивны в деятельности детских объединений и органов</w:t>
        <w:br/>
        <w:t>ученического самоуправления, необходимой для самореализации школьников</w:t>
      </w:r>
    </w:p>
    <w:p>
      <w:pPr>
        <w:pStyle w:val="Style12"/>
        <w:numPr>
          <w:ilvl w:val="0"/>
          <w:numId w:val="3"/>
        </w:numPr>
        <w:framePr w:w="10282" w:h="5899" w:hRule="exact" w:wrap="none" w:vAnchor="page" w:hAnchor="page" w:x="1041" w:y="5191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остаются 2% педагогов с низкой степенью профессиональных ориентиров</w:t>
      </w:r>
    </w:p>
    <w:p>
      <w:pPr>
        <w:pStyle w:val="Style12"/>
        <w:numPr>
          <w:ilvl w:val="0"/>
          <w:numId w:val="3"/>
        </w:numPr>
        <w:framePr w:w="10282" w:h="5899" w:hRule="exact" w:wrap="none" w:vAnchor="page" w:hAnchor="page" w:x="1041" w:y="5191"/>
        <w:tabs>
          <w:tab w:leader="none" w:pos="8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820" w:right="0" w:hanging="360"/>
      </w:pPr>
      <w:r>
        <w:rPr>
          <w:lang w:val="ru-RU" w:eastAsia="ru-RU" w:bidi="ru-RU"/>
          <w:w w:val="100"/>
          <w:spacing w:val="0"/>
          <w:color w:val="000000"/>
          <w:position w:val="0"/>
        </w:rPr>
        <w:t>12% школьников не готовы к самоопределению, уровень воспитанности низкий, нет</w:t>
        <w:br/>
        <w:t>целевых установок, не определены приоритеты развития.</w:t>
      </w:r>
    </w:p>
    <w:p>
      <w:pPr>
        <w:pStyle w:val="Style12"/>
        <w:framePr w:w="10282" w:h="5899" w:hRule="exact" w:wrap="none" w:vAnchor="page" w:hAnchor="page" w:x="1041" w:y="51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Пути решения выявленных проблем:</w:t>
      </w:r>
    </w:p>
    <w:p>
      <w:pPr>
        <w:pStyle w:val="Style12"/>
        <w:numPr>
          <w:ilvl w:val="0"/>
          <w:numId w:val="5"/>
        </w:numPr>
        <w:framePr w:w="10282" w:h="5899" w:hRule="exact" w:wrap="none" w:vAnchor="page" w:hAnchor="page" w:x="1041" w:y="5191"/>
        <w:tabs>
          <w:tab w:leader="none" w:pos="154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общеобразовательных организаций № 11,13,21,24,28 обеспечить</w:t>
        <w:br/>
        <w:t>доработку и корректировку программ и планов обеспечения воспитательного</w:t>
        <w:br/>
        <w:t>процесса в срок до 01.09.2021 г.</w:t>
      </w:r>
    </w:p>
    <w:p>
      <w:pPr>
        <w:pStyle w:val="Style12"/>
        <w:numPr>
          <w:ilvl w:val="0"/>
          <w:numId w:val="5"/>
        </w:numPr>
        <w:framePr w:w="10282" w:h="5899" w:hRule="exact" w:wrap="none" w:vAnchor="page" w:hAnchor="page" w:x="1041" w:y="5191"/>
        <w:tabs>
          <w:tab w:leader="none" w:pos="1546" w:val="left"/>
          <w:tab w:leader="none" w:pos="80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40" w:right="0" w:hanging="3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общеобразовательных организаций №</w:t>
        <w:tab/>
        <w:t>7,10,11,14,15,18,24,28</w:t>
      </w:r>
    </w:p>
    <w:p>
      <w:pPr>
        <w:pStyle w:val="Style12"/>
        <w:framePr w:w="10282" w:h="5899" w:hRule="exact" w:wrap="none" w:vAnchor="page" w:hAnchor="page" w:x="1041" w:y="51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15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принять меры по обновлению и укреплению материально-технического оснащения,</w:t>
        <w:br/>
        <w:t>необходимого для организации процесса воспитания в срок до 1 сентрября 2021 г.</w:t>
      </w:r>
    </w:p>
    <w:p>
      <w:pPr>
        <w:pStyle w:val="Style12"/>
        <w:numPr>
          <w:ilvl w:val="0"/>
          <w:numId w:val="5"/>
        </w:numPr>
        <w:framePr w:w="10282" w:h="5899" w:hRule="exact" w:wrap="none" w:vAnchor="page" w:hAnchor="page" w:x="1041" w:y="5191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7" w:right="0" w:firstLine="12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Руководителям общеобразовательных организаций принять дополнительные меры</w:t>
        <w:br/>
        <w:t>по обновлению воспитательного процесса с учётом современных достижений науки</w:t>
      </w:r>
    </w:p>
    <w:p>
      <w:pPr>
        <w:pStyle w:val="Style12"/>
        <w:framePr w:wrap="none" w:vAnchor="page" w:hAnchor="page" w:x="1843" w:y="4933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11,15,24.</w:t>
      </w:r>
    </w:p>
    <w:p>
      <w:pPr>
        <w:pStyle w:val="Style12"/>
        <w:framePr w:wrap="none" w:vAnchor="page" w:hAnchor="page" w:x="1041" w:y="11864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540" w:right="46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Председатель комитета по образованию</w:t>
      </w:r>
    </w:p>
    <w:p>
      <w:pPr>
        <w:pStyle w:val="Style12"/>
        <w:framePr w:wrap="none" w:vAnchor="page" w:hAnchor="page" w:x="1041" w:y="11067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540" w:right="4881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 на основе отечественных традиций.</w:t>
      </w:r>
    </w:p>
    <w:p>
      <w:pPr>
        <w:framePr w:wrap="none" w:vAnchor="page" w:hAnchor="page" w:x="7603" w:y="1101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21pt;height:118pt;">
            <v:imagedata r:id="rId5" r:href="rId6"/>
          </v:shape>
        </w:pict>
      </w:r>
    </w:p>
    <w:p>
      <w:pPr>
        <w:pStyle w:val="Style14"/>
        <w:framePr w:wrap="none" w:vAnchor="page" w:hAnchor="page" w:x="10003" w:y="11859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15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. Мельник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&gt;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3"/>
        <w:szCs w:val="23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таблице_"/>
    <w:basedOn w:val="DefaultParagraphFont"/>
    <w:link w:val="Style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4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9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0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1">
    <w:name w:val="Основной текст (2) + 11,5 pt,Не полужирный"/>
    <w:basedOn w:val="CharStyle4"/>
    <w:rPr>
      <w:lang w:val="ru-RU" w:eastAsia="ru-RU" w:bidi="ru-RU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13">
    <w:name w:val="Основной текст (3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">
    <w:name w:val="Подпись к картинке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таблице"/>
    <w:basedOn w:val="Normal"/>
    <w:link w:val="CharStyle6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2">
    <w:name w:val="Основной текст (3)"/>
    <w:basedOn w:val="Normal"/>
    <w:link w:val="CharStyle13"/>
    <w:pPr>
      <w:widowControl w:val="0"/>
      <w:shd w:val="clear" w:color="auto" w:fill="FFFFFF"/>
      <w:spacing w:before="420" w:line="274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">
    <w:name w:val="Подпись к картинке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